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settings.xml" ContentType="application/vnd.openxmlformats-officedocument.wordprocessingml.settings+xml"/>
  <Override PartName="/word/media/image2.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42"/>
        <w:jc w:val="center"/>
      </w:pPr>
      <w:r>
        <w:rPr>
          <w:caps/>
        </w:rPr>
        <w:t>FICHE DE TRAVAIL</w:t>
      </w:r>
    </w:p>
    <w:p>
      <w:pPr>
        <w:pStyle w:val="style42"/>
      </w:pPr>
      <w:r>
        <w:rPr>
          <w:smallCaps/>
          <w:sz w:val="36"/>
        </w:rPr>
        <w:t>th</w:t>
      </w:r>
      <w:r>
        <w:rPr>
          <w:smallCaps/>
          <w:sz w:val="28"/>
        </w:rPr>
        <w:t>È</w:t>
      </w:r>
      <w:r>
        <w:rPr>
          <w:smallCaps/>
          <w:sz w:val="36"/>
        </w:rPr>
        <w:t>me abord</w:t>
      </w:r>
      <w:r>
        <w:rPr>
          <w:smallCaps/>
          <w:sz w:val="28"/>
        </w:rPr>
        <w:t>É</w:t>
      </w:r>
      <w:r>
        <w:rPr>
          <w:smallCaps/>
          <w:sz w:val="36"/>
        </w:rPr>
        <w:t> :</w:t>
      </w:r>
      <w:r>
        <w:rPr>
          <w:caps/>
          <w:sz w:val="36"/>
        </w:rPr>
        <w:t xml:space="preserve"> </w:t>
      </w:r>
      <w:r>
        <w:rPr>
          <w:caps/>
          <w:sz w:val="32"/>
        </w:rPr>
        <w:t>TRAVAUX divers</w:t>
      </w:r>
    </w:p>
    <w:p>
      <w:pPr>
        <w:pStyle w:val="style42"/>
      </w:pPr>
      <w:r>
        <w:rPr>
          <w:smallCaps/>
          <w:sz w:val="32"/>
        </w:rPr>
        <w:t>(P1 a P5 – Activités 1.1, 1.5, 1.7, 2.3, 3.2, 4.1, 4.2, 4.3 et 5.5)</w:t>
      </w:r>
    </w:p>
    <w:p>
      <w:pPr>
        <w:pStyle w:val="style1"/>
        <w:spacing w:after="120" w:before="0"/>
        <w:contextualSpacing w:val="false"/>
      </w:pPr>
      <w:r>
        <w:rPr/>
        <w:t>L’organisation du travail </w:t>
      </w:r>
    </w:p>
    <w:p>
      <w:pPr>
        <w:pStyle w:val="style0"/>
        <w:jc w:val="both"/>
      </w:pPr>
      <w:r>
        <w:rPr/>
        <w:t>Vous travaillez au sein du cabinet d’expertise-comptable choisi par l’entreprise Francobois pour traiter son dossier. Par groupes de 2 ou 3, vous vous répartissez les tâches et travaillez sur le dossier à fin septembre, restauré sur le PGI du cabinet comptable pour :</w:t>
      </w:r>
    </w:p>
    <w:p>
      <w:pPr>
        <w:pStyle w:val="style41"/>
        <w:numPr>
          <w:ilvl w:val="0"/>
          <w:numId w:val="5"/>
        </w:numPr>
        <w:jc w:val="both"/>
      </w:pPr>
      <w:r>
        <w:rPr/>
        <w:t>enregistrer les écritures de régularisation nécessaires suites aux imputations provisoires faites par le comptable de l’entreprise et aux factures non traitées,</w:t>
      </w:r>
    </w:p>
    <w:p>
      <w:pPr>
        <w:pStyle w:val="style41"/>
        <w:numPr>
          <w:ilvl w:val="0"/>
          <w:numId w:val="5"/>
        </w:numPr>
        <w:jc w:val="both"/>
      </w:pPr>
      <w:r>
        <w:rPr/>
        <w:t>mettre à jour l’application de suivi des immobilisations pour prendre en compte les nouveaux investissements réalisés,</w:t>
      </w:r>
    </w:p>
    <w:p>
      <w:pPr>
        <w:pStyle w:val="style41"/>
        <w:numPr>
          <w:ilvl w:val="0"/>
          <w:numId w:val="5"/>
        </w:numPr>
        <w:jc w:val="both"/>
      </w:pPr>
      <w:r>
        <w:rPr/>
        <w:t>adapter le paramétrage du PGI pour prendre en compte la nouvelle activité de service après-vente dans les applications de gestion commerciale et de comptabilité,</w:t>
      </w:r>
    </w:p>
    <w:p>
      <w:pPr>
        <w:pStyle w:val="style41"/>
        <w:numPr>
          <w:ilvl w:val="0"/>
          <w:numId w:val="5"/>
        </w:numPr>
        <w:jc w:val="both"/>
      </w:pPr>
      <w:r>
        <w:rPr/>
        <w:t>établir la déclaration de TVA du mois de septembre et réaliser une demande de rembourse-</w:t>
        <w:br/>
        <w:t>ment de crédit,</w:t>
      </w:r>
    </w:p>
    <w:p>
      <w:pPr>
        <w:pStyle w:val="style41"/>
        <w:numPr>
          <w:ilvl w:val="0"/>
          <w:numId w:val="5"/>
        </w:numPr>
        <w:jc w:val="both"/>
      </w:pPr>
      <w:r>
        <w:rPr/>
        <w:t>mettre à jour l’application de paie pour intégrer le salarié embauché pour la nouvelle activité,</w:t>
      </w:r>
    </w:p>
    <w:p>
      <w:pPr>
        <w:pStyle w:val="style41"/>
        <w:numPr>
          <w:ilvl w:val="0"/>
          <w:numId w:val="5"/>
        </w:numPr>
        <w:jc w:val="both"/>
      </w:pPr>
      <w:r>
        <w:rPr/>
        <w:t>répondre à la demande du Directeur commercial de l'entreprise Francobois.</w:t>
      </w:r>
    </w:p>
    <w:p>
      <w:pPr>
        <w:pStyle w:val="style0"/>
        <w:spacing w:after="60" w:before="0"/>
        <w:contextualSpacing w:val="false"/>
        <w:jc w:val="both"/>
      </w:pPr>
      <w:r>
        <w:rPr/>
      </w:r>
    </w:p>
    <w:p>
      <w:pPr>
        <w:pStyle w:val="style1"/>
        <w:spacing w:after="120" w:before="0"/>
        <w:contextualSpacing w:val="false"/>
      </w:pPr>
      <w:r>
        <w:rPr/>
        <w:t>Les données </w:t>
      </w:r>
    </w:p>
    <w:p>
      <w:pPr>
        <w:pStyle w:val="style0"/>
        <w:jc w:val="both"/>
      </w:pPr>
      <w:r>
        <w:rPr/>
        <w:t>Vous disposez :</w:t>
      </w:r>
    </w:p>
    <w:p>
      <w:pPr>
        <w:pStyle w:val="style41"/>
        <w:numPr>
          <w:ilvl w:val="0"/>
          <w:numId w:val="1"/>
        </w:numPr>
        <w:jc w:val="both"/>
      </w:pPr>
      <w:r>
        <w:rPr/>
        <w:t>du dossier complet de l’entreprise restauré sur le PGI du cabinet comptable,</w:t>
      </w:r>
    </w:p>
    <w:p>
      <w:pPr>
        <w:pStyle w:val="style41"/>
        <w:numPr>
          <w:ilvl w:val="0"/>
          <w:numId w:val="1"/>
        </w:numPr>
        <w:jc w:val="both"/>
      </w:pPr>
      <w:r>
        <w:rPr/>
        <w:t>d’un ensemble de documents fournis par l’entreprise,</w:t>
      </w:r>
    </w:p>
    <w:p>
      <w:pPr>
        <w:pStyle w:val="style41"/>
        <w:numPr>
          <w:ilvl w:val="0"/>
          <w:numId w:val="1"/>
        </w:numPr>
        <w:jc w:val="both"/>
      </w:pPr>
      <w:r>
        <w:rPr/>
        <w:t>de différents modes opératoires pour réaliser les tâches de paramétrage des applications du PGI.</w:t>
      </w:r>
    </w:p>
    <w:p>
      <w:pPr>
        <w:pStyle w:val="style0"/>
        <w:jc w:val="both"/>
      </w:pPr>
      <w:r>
        <w:rPr/>
      </w:r>
    </w:p>
    <w:p>
      <w:pPr>
        <w:pStyle w:val="style1"/>
        <w:spacing w:after="120" w:before="0"/>
        <w:contextualSpacing w:val="false"/>
      </w:pPr>
      <w:r>
        <w:rPr/>
        <w:t>Les problématiques </w:t>
      </w:r>
    </w:p>
    <w:p>
      <w:pPr>
        <w:pStyle w:val="style0"/>
        <w:jc w:val="both"/>
      </w:pPr>
      <w:r>
        <w:rPr/>
        <w:t>L’entreprise a réalisé au cours du 3° trimestre 2016 des investissements importants, dont un local commercial, pour développer son activité et créer un service après-vente dès le mois d’octobre.</w:t>
      </w:r>
    </w:p>
    <w:p>
      <w:pPr>
        <w:pStyle w:val="style0"/>
        <w:jc w:val="both"/>
      </w:pPr>
      <w:r>
        <w:rPr/>
        <w:t>Conformément à la lettre de mission qui le lie à l’entreprise, le cabinet comptable doit réaliser les travaux de paramétrage du PGI ainsi que les tâches inhabituelles que le comptable de l’entreprise n’est pas en mesure d’assumer. Des recherches documentaires pourront être nécessaires pour assurer les missions dans le respect de la réglementation.</w:t>
      </w:r>
    </w:p>
    <w:p>
      <w:pPr>
        <w:pStyle w:val="style0"/>
        <w:jc w:val="both"/>
      </w:pPr>
      <w:r>
        <w:rPr/>
      </w:r>
    </w:p>
    <w:p>
      <w:pPr>
        <w:pStyle w:val="style1"/>
        <w:spacing w:after="120" w:before="0"/>
        <w:contextualSpacing w:val="false"/>
      </w:pPr>
      <w:r>
        <w:rPr/>
        <w:t>Les ressources matérielles et logicielles </w:t>
      </w:r>
    </w:p>
    <w:p>
      <w:pPr>
        <w:pStyle w:val="style0"/>
        <w:jc w:val="both"/>
      </w:pPr>
      <w:r>
        <w:rPr/>
        <w:t>PGI, tableur, traitement de texte, accès internet, ressources internes disponibles sur le réseau de l’établissement.</w:t>
      </w:r>
    </w:p>
    <w:p>
      <w:pPr>
        <w:pStyle w:val="style0"/>
        <w:jc w:val="both"/>
      </w:pPr>
      <w:r>
        <w:rPr/>
      </w:r>
    </w:p>
    <w:p>
      <w:pPr>
        <w:pStyle w:val="style1"/>
        <w:spacing w:after="120" w:before="0"/>
        <w:contextualSpacing w:val="false"/>
      </w:pPr>
      <w:r>
        <w:rPr/>
        <w:t>Les productions attendues :</w:t>
      </w:r>
    </w:p>
    <w:p>
      <w:pPr>
        <w:pStyle w:val="style41"/>
        <w:numPr>
          <w:ilvl w:val="0"/>
          <w:numId w:val="4"/>
        </w:numPr>
        <w:spacing w:after="120" w:before="0"/>
        <w:contextualSpacing/>
        <w:jc w:val="both"/>
      </w:pPr>
      <w:r>
        <w:rPr>
          <w:b/>
        </w:rPr>
        <w:t xml:space="preserve">Enregistrements divers </w:t>
      </w:r>
      <w:r>
        <w:rPr/>
        <w:t>de régularisation ou de complément.</w:t>
      </w:r>
    </w:p>
    <w:p>
      <w:pPr>
        <w:pStyle w:val="style41"/>
        <w:numPr>
          <w:ilvl w:val="0"/>
          <w:numId w:val="4"/>
        </w:numPr>
        <w:spacing w:after="120" w:before="0"/>
        <w:contextualSpacing/>
        <w:jc w:val="both"/>
      </w:pPr>
      <w:r>
        <w:rPr>
          <w:b/>
        </w:rPr>
        <w:t>Paramétrage fonctionnel</w:t>
      </w:r>
      <w:r>
        <w:rPr/>
        <w:t xml:space="preserve"> des différentes applications et </w:t>
      </w:r>
      <w:r>
        <w:rPr>
          <w:b/>
        </w:rPr>
        <w:t>mise à jour des données</w:t>
      </w:r>
      <w:r>
        <w:rPr/>
        <w:t>.</w:t>
      </w:r>
    </w:p>
    <w:p>
      <w:pPr>
        <w:pStyle w:val="style41"/>
        <w:numPr>
          <w:ilvl w:val="0"/>
          <w:numId w:val="4"/>
        </w:numPr>
        <w:spacing w:after="120" w:before="0"/>
        <w:contextualSpacing/>
        <w:jc w:val="both"/>
      </w:pPr>
      <w:r>
        <w:rPr>
          <w:b/>
        </w:rPr>
        <w:t xml:space="preserve">Compte-rendu du paramétrage </w:t>
      </w:r>
      <w:r>
        <w:rPr/>
        <w:t>mis en place pour la nouvelle activité</w:t>
      </w:r>
      <w:r>
        <w:rPr>
          <w:b/>
        </w:rPr>
        <w:t>.</w:t>
      </w:r>
    </w:p>
    <w:p>
      <w:pPr>
        <w:pStyle w:val="style41"/>
        <w:numPr>
          <w:ilvl w:val="0"/>
          <w:numId w:val="4"/>
        </w:numPr>
        <w:spacing w:after="120" w:before="0"/>
        <w:contextualSpacing/>
        <w:jc w:val="both"/>
      </w:pPr>
      <w:r>
        <w:rPr>
          <w:b/>
        </w:rPr>
        <w:t>Fiches d'immobilisations et document de cadrage des bases avec la comptabilité</w:t>
      </w:r>
    </w:p>
    <w:p>
      <w:pPr>
        <w:pStyle w:val="style41"/>
        <w:numPr>
          <w:ilvl w:val="0"/>
          <w:numId w:val="4"/>
        </w:numPr>
        <w:spacing w:after="120" w:before="0"/>
        <w:contextualSpacing/>
        <w:jc w:val="both"/>
      </w:pPr>
      <w:r>
        <w:rPr>
          <w:b/>
        </w:rPr>
        <w:t>Déclaration de TVA</w:t>
      </w:r>
      <w:r>
        <w:rPr/>
        <w:t xml:space="preserve"> de septembre et </w:t>
      </w:r>
      <w:r>
        <w:rPr>
          <w:b/>
        </w:rPr>
        <w:t>demande de remboursement</w:t>
      </w:r>
      <w:r>
        <w:rPr/>
        <w:t xml:space="preserve"> de crédit.</w:t>
      </w:r>
    </w:p>
    <w:p>
      <w:pPr>
        <w:pStyle w:val="style41"/>
        <w:numPr>
          <w:ilvl w:val="0"/>
          <w:numId w:val="4"/>
        </w:numPr>
        <w:spacing w:after="120" w:before="0"/>
        <w:contextualSpacing/>
        <w:jc w:val="both"/>
      </w:pPr>
      <w:r>
        <w:rPr>
          <w:b/>
        </w:rPr>
        <w:t xml:space="preserve">DPAE et contrat de travail </w:t>
      </w:r>
      <w:r>
        <w:rPr>
          <w:b w:val="false"/>
          <w:bCs w:val="false"/>
        </w:rPr>
        <w:t xml:space="preserve">du nouveau salarié </w:t>
      </w:r>
      <w:r>
        <w:rPr>
          <w:b w:val="false"/>
          <w:bCs w:val="false"/>
          <w:i/>
          <w:iCs/>
        </w:rPr>
        <w:t>(facultatif)</w:t>
      </w:r>
      <w:r>
        <w:rPr>
          <w:b/>
        </w:rPr>
        <w:t>.</w:t>
      </w:r>
    </w:p>
    <w:p>
      <w:pPr>
        <w:pStyle w:val="style41"/>
        <w:numPr>
          <w:ilvl w:val="0"/>
          <w:numId w:val="4"/>
        </w:numPr>
        <w:spacing w:after="120" w:before="0"/>
        <w:contextualSpacing/>
        <w:jc w:val="both"/>
      </w:pPr>
      <w:r>
        <w:rPr>
          <w:b/>
        </w:rPr>
        <w:t xml:space="preserve">Liste des produits les plus vendus </w:t>
      </w:r>
      <w:r>
        <w:rPr/>
        <w:t xml:space="preserve">sur les trois dernières années et </w:t>
      </w:r>
      <w:r>
        <w:rPr>
          <w:b/>
        </w:rPr>
        <w:t>mode opératoire</w:t>
      </w:r>
      <w:r>
        <w:rPr/>
        <w:t xml:space="preserve"> d’extraction de ces informations.</w:t>
      </w:r>
    </w:p>
    <w:p>
      <w:pPr>
        <w:pStyle w:val="style1"/>
        <w:pageBreakBefore/>
      </w:pPr>
      <w:r>
        <w:rPr/>
        <w:t>Les missions confiées </w:t>
      </w:r>
    </w:p>
    <w:p>
      <w:pPr>
        <w:pStyle w:val="style2"/>
      </w:pPr>
      <w:r>
        <w:rPr/>
        <w:t>Mission 1 – Traiter le dossier des factures en attente</w:t>
      </w:r>
    </w:p>
    <w:p>
      <w:pPr>
        <w:pStyle w:val="style0"/>
        <w:ind w:hanging="0" w:left="567" w:right="0"/>
        <w:jc w:val="both"/>
      </w:pPr>
      <w:r>
        <w:rPr/>
        <w:t>Vous disposez d’un dossier contenant les copies des factures d’investissements réalisés récemment.</w:t>
      </w:r>
    </w:p>
    <w:p>
      <w:pPr>
        <w:pStyle w:val="style0"/>
        <w:ind w:hanging="0" w:left="567" w:right="0"/>
        <w:jc w:val="both"/>
      </w:pPr>
      <w:r>
        <w:rPr>
          <w:b/>
        </w:rPr>
        <w:t>Vous êtes chargé(e), à partir des documents, des informations fournies par M. Grandclément et des outils de documentation à votre disposition :</w:t>
      </w:r>
    </w:p>
    <w:p>
      <w:pPr>
        <w:pStyle w:val="style41"/>
        <w:numPr>
          <w:ilvl w:val="0"/>
          <w:numId w:val="2"/>
        </w:numPr>
        <w:jc w:val="both"/>
      </w:pPr>
      <w:r>
        <w:rPr>
          <w:b/>
        </w:rPr>
        <w:t>de procéder à l’imputation correcte des enregistrements provisoires constatés en compte d’attente par le comptable de l’entreprise,</w:t>
      </w:r>
    </w:p>
    <w:p>
      <w:pPr>
        <w:pStyle w:val="style41"/>
        <w:numPr>
          <w:ilvl w:val="0"/>
          <w:numId w:val="2"/>
        </w:numPr>
        <w:jc w:val="both"/>
      </w:pPr>
      <w:r>
        <w:rPr>
          <w:b/>
        </w:rPr>
        <w:t>d’enregistrer les factures non encore traitées par le comptable de l’entreprise,</w:t>
      </w:r>
    </w:p>
    <w:p>
      <w:pPr>
        <w:pStyle w:val="style41"/>
        <w:numPr>
          <w:ilvl w:val="0"/>
          <w:numId w:val="2"/>
        </w:numPr>
        <w:jc w:val="both"/>
      </w:pPr>
      <w:r>
        <w:rPr>
          <w:b/>
        </w:rPr>
        <w:t>de procéder à la mise à jour des fiches d’immobilisations dans l’application de suivi des immobilisations après avoir recherché les durées d'amortissement à pratiquer.</w:t>
      </w:r>
    </w:p>
    <w:p>
      <w:pPr>
        <w:pStyle w:val="style0"/>
        <w:jc w:val="both"/>
      </w:pPr>
      <w:r>
        <w:rPr/>
      </w:r>
    </w:p>
    <w:p>
      <w:pPr>
        <w:pStyle w:val="style2"/>
      </w:pPr>
      <w:r>
        <w:rPr/>
        <w:t>Mission 2 – Adapter le paramétrage du PGI</w:t>
      </w:r>
    </w:p>
    <w:p>
      <w:pPr>
        <w:pStyle w:val="style0"/>
        <w:ind w:hanging="0" w:left="567" w:right="0"/>
        <w:jc w:val="both"/>
      </w:pPr>
      <w:r>
        <w:rPr/>
        <w:t>Suite à une demande de renseignements, M. Grandclément vous a retourné un courrier électronique dans lequel il a récapitulé les conditions de fonctionnement de la nouvelle activité de service après-vente qui démarrera en octobre.</w:t>
      </w:r>
    </w:p>
    <w:p>
      <w:pPr>
        <w:pStyle w:val="style0"/>
        <w:ind w:hanging="0" w:left="567" w:right="0"/>
        <w:jc w:val="both"/>
      </w:pPr>
      <w:r>
        <w:rPr>
          <w:b/>
        </w:rPr>
        <w:t xml:space="preserve">Vous êtes chargé(e) de : </w:t>
      </w:r>
    </w:p>
    <w:p>
      <w:pPr>
        <w:pStyle w:val="style41"/>
        <w:numPr>
          <w:ilvl w:val="0"/>
          <w:numId w:val="3"/>
        </w:numPr>
        <w:jc w:val="both"/>
      </w:pPr>
      <w:r>
        <w:rPr>
          <w:b/>
        </w:rPr>
        <w:t xml:space="preserve">paramétrer l’application de comptabilité </w:t>
      </w:r>
      <w:r>
        <w:rPr>
          <w:b w:val="false"/>
          <w:bCs w:val="false"/>
        </w:rPr>
        <w:t>pour que l’enregistrement automatique généré par l’application de gestion commerciale puisse se faire correctement,</w:t>
      </w:r>
    </w:p>
    <w:p>
      <w:pPr>
        <w:pStyle w:val="style41"/>
        <w:numPr>
          <w:ilvl w:val="0"/>
          <w:numId w:val="3"/>
        </w:numPr>
        <w:jc w:val="both"/>
      </w:pPr>
      <w:r>
        <w:rPr>
          <w:b/>
        </w:rPr>
        <w:t xml:space="preserve">paramétrer l’application de gestion commerciale </w:t>
      </w:r>
      <w:r>
        <w:rPr/>
        <w:t>pour qu’il soit possible de générer les factures de SAV,</w:t>
      </w:r>
    </w:p>
    <w:p>
      <w:pPr>
        <w:pStyle w:val="style41"/>
        <w:numPr>
          <w:ilvl w:val="0"/>
          <w:numId w:val="3"/>
        </w:numPr>
        <w:jc w:val="both"/>
      </w:pPr>
      <w:r>
        <w:rPr>
          <w:b/>
        </w:rPr>
        <w:t xml:space="preserve">réaliser un test </w:t>
      </w:r>
      <w:r>
        <w:rPr/>
        <w:t>avec une facture de SAV qui pourra ensuite être annulée par un avoir ou simplement non validée afin de ne pas fausser la déclaration de TVA du mois,</w:t>
      </w:r>
    </w:p>
    <w:p>
      <w:pPr>
        <w:pStyle w:val="style41"/>
        <w:numPr>
          <w:ilvl w:val="0"/>
          <w:numId w:val="3"/>
        </w:numPr>
        <w:jc w:val="both"/>
      </w:pPr>
      <w:r>
        <w:rPr>
          <w:b/>
        </w:rPr>
        <w:t xml:space="preserve">rendre compte du paramétrage </w:t>
      </w:r>
      <w:r>
        <w:rPr/>
        <w:t>mis en place pour son utilisation en entreprise</w:t>
      </w:r>
      <w:r>
        <w:rPr>
          <w:b/>
        </w:rPr>
        <w:t>.</w:t>
      </w:r>
    </w:p>
    <w:p>
      <w:pPr>
        <w:pStyle w:val="style0"/>
        <w:jc w:val="both"/>
      </w:pPr>
      <w:r>
        <w:rPr/>
      </w:r>
    </w:p>
    <w:p>
      <w:pPr>
        <w:pStyle w:val="style2"/>
      </w:pPr>
      <w:r>
        <w:rPr/>
        <w:t>Mission 3 – Établ</w:t>
      </w:r>
      <w:bookmarkStart w:id="0" w:name="_GoBack"/>
      <w:bookmarkEnd w:id="0"/>
      <w:r>
        <w:rPr/>
        <w:t>ir la déclaration de TVA de septembre</w:t>
      </w:r>
    </w:p>
    <w:p>
      <w:pPr>
        <w:pStyle w:val="style0"/>
        <w:ind w:hanging="0" w:left="567" w:right="0"/>
        <w:jc w:val="both"/>
      </w:pPr>
      <w:r>
        <w:rPr/>
        <w:t>La déclaration de TVA du mois septembre n’a pas été réalisée en interne en raison des écritures en attente d’imputation.</w:t>
      </w:r>
    </w:p>
    <w:p>
      <w:pPr>
        <w:pStyle w:val="style0"/>
        <w:ind w:hanging="0" w:left="567" w:right="0"/>
        <w:jc w:val="both"/>
      </w:pPr>
      <w:r>
        <w:rPr>
          <w:b/>
        </w:rPr>
        <w:t xml:space="preserve">Vous êtes chargé(e) de réaliser cette déclaration et d’étudier la possibilité d’une demande de remboursement du crédit. </w:t>
      </w:r>
      <w:r>
        <w:rPr>
          <w:b w:val="false"/>
          <w:bCs w:val="false"/>
        </w:rPr>
        <w:t>Si l’entreprise remplit les conditions, vous compléterez l’imprimé CA 3 et la demande de remboursement en conséquence puis vous enregistrerez l’écriture de liquidation correspondante.</w:t>
      </w:r>
    </w:p>
    <w:p>
      <w:pPr>
        <w:pStyle w:val="style0"/>
        <w:jc w:val="both"/>
      </w:pPr>
      <w:r>
        <w:rPr/>
      </w:r>
    </w:p>
    <w:p>
      <w:pPr>
        <w:pStyle w:val="style2"/>
      </w:pPr>
      <w:r>
        <w:rPr/>
        <w:t>Mission 4 – Préparer la paie du nouveau salarié</w:t>
      </w:r>
    </w:p>
    <w:p>
      <w:pPr>
        <w:pStyle w:val="style0"/>
        <w:ind w:hanging="0" w:left="567" w:right="0"/>
        <w:jc w:val="both"/>
      </w:pPr>
      <w:r>
        <w:rPr/>
        <w:t>La personne qui va assurer la nouvelle activité de service après-vente a été recrutée et commencera le 01/10. Elle a été embauchée en CDI avec une période d’essai d’un mois. Les informations nécessaires le concernant vous ont été transmises par l'entreprise Francobois.</w:t>
      </w:r>
    </w:p>
    <w:p>
      <w:pPr>
        <w:pStyle w:val="style0"/>
        <w:ind w:hanging="0" w:left="567" w:right="0"/>
        <w:jc w:val="both"/>
      </w:pPr>
      <w:r>
        <w:rPr>
          <w:b/>
        </w:rPr>
        <w:t>Vous êtes chargé(e), à partir des informations fournies par M. Grandclément, de :</w:t>
      </w:r>
    </w:p>
    <w:p>
      <w:pPr>
        <w:pStyle w:val="style41"/>
        <w:numPr>
          <w:ilvl w:val="0"/>
          <w:numId w:val="3"/>
        </w:numPr>
        <w:jc w:val="both"/>
      </w:pPr>
      <w:r>
        <w:rPr>
          <w:b/>
        </w:rPr>
        <w:t xml:space="preserve">rechercher dans la Convention Collective dont dépend l’entreprise le salaire minimum </w:t>
      </w:r>
      <w:r>
        <w:rPr>
          <w:b w:val="false"/>
          <w:bCs w:val="false"/>
        </w:rPr>
        <w:t>à lui verser compte tenu de sa qualification,</w:t>
      </w:r>
    </w:p>
    <w:p>
      <w:pPr>
        <w:pStyle w:val="style41"/>
        <w:numPr>
          <w:ilvl w:val="0"/>
          <w:numId w:val="3"/>
        </w:numPr>
        <w:jc w:val="both"/>
      </w:pPr>
      <w:r>
        <w:rPr>
          <w:b/>
        </w:rPr>
        <w:t>créer la fiche du salarié dans l'application de paie,</w:t>
      </w:r>
    </w:p>
    <w:p>
      <w:pPr>
        <w:pStyle w:val="style41"/>
        <w:numPr>
          <w:ilvl w:val="0"/>
          <w:numId w:val="3"/>
        </w:numPr>
        <w:jc w:val="both"/>
      </w:pPr>
      <w:r>
        <w:rPr>
          <w:b/>
        </w:rPr>
        <w:t>générer la DPAE</w:t>
      </w:r>
      <w:r>
        <w:rPr>
          <w:b/>
          <w:i/>
          <w:color w:val="FF0000"/>
        </w:rPr>
        <w:t xml:space="preserve"> </w:t>
      </w:r>
      <w:r>
        <w:rPr>
          <w:b/>
          <w:i/>
          <w:color w:val="000000"/>
        </w:rPr>
        <w:t>et le contrat de travail depuis le PGI (facultatif),</w:t>
      </w:r>
    </w:p>
    <w:p>
      <w:pPr>
        <w:pStyle w:val="style41"/>
        <w:numPr>
          <w:ilvl w:val="0"/>
          <w:numId w:val="3"/>
        </w:numPr>
        <w:jc w:val="both"/>
      </w:pPr>
      <w:r>
        <w:rPr>
          <w:b/>
        </w:rPr>
        <w:t>générer un bulletin de paie test pour le mois d’octobre.</w:t>
      </w:r>
    </w:p>
    <w:p>
      <w:pPr>
        <w:pStyle w:val="style0"/>
        <w:jc w:val="both"/>
      </w:pPr>
      <w:r>
        <w:rPr/>
      </w:r>
    </w:p>
    <w:p>
      <w:pPr>
        <w:pStyle w:val="style2"/>
      </w:pPr>
      <w:r>
        <w:rPr/>
        <w:t>Mission 5 – Répondre à la demande du directeur commercial</w:t>
      </w:r>
    </w:p>
    <w:p>
      <w:pPr>
        <w:pStyle w:val="style0"/>
        <w:ind w:hanging="0" w:left="567" w:right="0"/>
        <w:jc w:val="both"/>
      </w:pPr>
      <w:r>
        <w:rPr/>
        <w:t>En prévision de l’ouverture prochaine du magasin d’exposition, le directeur commercial aimerait connaître la liste des cinq produits les plus vendus en quantité et des trois produits qui ont procuré le chiffre d’affaires le plus important. Il ne sait pas comment exploiter le PGI pour réaliser ce travail.</w:t>
      </w:r>
    </w:p>
    <w:p>
      <w:pPr>
        <w:pStyle w:val="style0"/>
        <w:ind w:hanging="0" w:left="567" w:right="0"/>
        <w:jc w:val="both"/>
      </w:pPr>
      <w:r>
        <w:rPr>
          <w:b/>
        </w:rPr>
        <w:t>Vous êtes chargé(e) de :</w:t>
      </w:r>
    </w:p>
    <w:p>
      <w:pPr>
        <w:pStyle w:val="style41"/>
        <w:numPr>
          <w:ilvl w:val="0"/>
          <w:numId w:val="6"/>
        </w:numPr>
        <w:jc w:val="both"/>
      </w:pPr>
      <w:r>
        <w:rPr/>
        <w:t>réaliser le travail demandé et rédiger un mode opératoire.</w:t>
      </w:r>
    </w:p>
    <w:p>
      <w:pPr>
        <w:pStyle w:val="style1"/>
        <w:pageBreakBefore/>
        <w:numPr>
          <w:ilvl w:val="0"/>
          <w:numId w:val="6"/>
        </w:numPr>
        <w:ind w:hanging="360" w:left="0" w:right="0"/>
      </w:pPr>
      <w:r>
        <w:rPr/>
        <w:t>Annexe – Pour la mise à jour de votre passeport professionnel</w:t>
      </w:r>
    </w:p>
    <w:p>
      <w:pPr>
        <w:pStyle w:val="style1"/>
        <w:numPr>
          <w:ilvl w:val="0"/>
          <w:numId w:val="6"/>
        </w:numPr>
        <w:shd w:fill="FFFFFF" w:val="clear"/>
        <w:ind w:hanging="360" w:left="1287" w:right="0"/>
      </w:pPr>
      <w:r>
        <w:rPr>
          <w:u w:val="none"/>
        </w:rPr>
        <w:t>Les composantes concernées</w:t>
      </w:r>
    </w:p>
    <w:p>
      <w:pPr>
        <w:pStyle w:val="style0"/>
        <w:numPr>
          <w:ilvl w:val="0"/>
          <w:numId w:val="6"/>
        </w:numPr>
        <w:spacing w:after="60" w:before="0"/>
        <w:contextualSpacing w:val="false"/>
        <w:jc w:val="both"/>
      </w:pPr>
      <w:r>
        <w:rPr/>
        <w:t>1.1.3. Repérage des sources du droit comptable</w:t>
      </w:r>
    </w:p>
    <w:p>
      <w:pPr>
        <w:pStyle w:val="style0"/>
        <w:numPr>
          <w:ilvl w:val="0"/>
          <w:numId w:val="6"/>
        </w:numPr>
        <w:spacing w:after="60" w:before="0"/>
        <w:contextualSpacing w:val="false"/>
        <w:jc w:val="both"/>
      </w:pPr>
      <w:r>
        <w:rPr/>
        <w:t>1.5.4. Enregistrement des factures d’acquisition d’immobilisations</w:t>
      </w:r>
    </w:p>
    <w:p>
      <w:pPr>
        <w:pStyle w:val="style0"/>
        <w:numPr>
          <w:ilvl w:val="0"/>
          <w:numId w:val="6"/>
        </w:numPr>
        <w:spacing w:after="60" w:before="0"/>
        <w:contextualSpacing w:val="false"/>
        <w:jc w:val="both"/>
      </w:pPr>
      <w:r>
        <w:rPr/>
        <w:t>1.7.1. Présentation des caractéristiques de l’organisation</w:t>
      </w:r>
    </w:p>
    <w:p>
      <w:pPr>
        <w:pStyle w:val="style0"/>
        <w:numPr>
          <w:ilvl w:val="0"/>
          <w:numId w:val="6"/>
        </w:numPr>
        <w:spacing w:after="60" w:before="0"/>
        <w:contextualSpacing w:val="false"/>
        <w:jc w:val="both"/>
      </w:pPr>
      <w:r>
        <w:rPr/>
        <w:t>2.3.2. Enregistrements relatifs aux immobilisations</w:t>
      </w:r>
    </w:p>
    <w:p>
      <w:pPr>
        <w:pStyle w:val="style0"/>
        <w:numPr>
          <w:ilvl w:val="0"/>
          <w:numId w:val="6"/>
        </w:numPr>
        <w:spacing w:after="60" w:before="0"/>
        <w:contextualSpacing w:val="false"/>
      </w:pPr>
      <w:r>
        <w:rPr/>
        <w:t>3.2.1. Préparation de la déclaration de TVA</w:t>
      </w:r>
    </w:p>
    <w:p>
      <w:pPr>
        <w:pStyle w:val="style0"/>
        <w:numPr>
          <w:ilvl w:val="0"/>
          <w:numId w:val="6"/>
        </w:numPr>
        <w:spacing w:after="60" w:before="0"/>
        <w:contextualSpacing w:val="false"/>
        <w:jc w:val="both"/>
      </w:pPr>
      <w:r>
        <w:rPr/>
        <w:t>3.2.3. Enregistrement comptable de la déclaration de TVA</w:t>
      </w:r>
    </w:p>
    <w:p>
      <w:pPr>
        <w:pStyle w:val="style0"/>
        <w:numPr>
          <w:ilvl w:val="0"/>
          <w:numId w:val="6"/>
        </w:numPr>
        <w:spacing w:after="60" w:before="0"/>
        <w:contextualSpacing w:val="false"/>
        <w:jc w:val="both"/>
      </w:pPr>
      <w:r>
        <w:rPr/>
        <w:t>4.1.1. Veille juridique nécessaire au respect des obligations sociales</w:t>
      </w:r>
    </w:p>
    <w:p>
      <w:pPr>
        <w:pStyle w:val="style0"/>
        <w:numPr>
          <w:ilvl w:val="0"/>
          <w:numId w:val="6"/>
        </w:numPr>
        <w:spacing w:after="60" w:before="0"/>
        <w:contextualSpacing w:val="false"/>
        <w:jc w:val="both"/>
      </w:pPr>
      <w:r>
        <w:rPr/>
        <w:t>4.2.1. Établissement des formalités d’embauche</w:t>
      </w:r>
    </w:p>
    <w:p>
      <w:pPr>
        <w:pStyle w:val="style0"/>
        <w:numPr>
          <w:ilvl w:val="0"/>
          <w:numId w:val="6"/>
        </w:numPr>
        <w:spacing w:after="60" w:before="0"/>
        <w:contextualSpacing w:val="false"/>
        <w:jc w:val="both"/>
      </w:pPr>
      <w:r>
        <w:rPr/>
        <w:t>4.3.1. Prise en compte des éléments collectifs à l’élaboration des bulletins de paie</w:t>
      </w:r>
    </w:p>
    <w:p>
      <w:pPr>
        <w:pStyle w:val="style0"/>
        <w:numPr>
          <w:ilvl w:val="0"/>
          <w:numId w:val="6"/>
        </w:numPr>
        <w:spacing w:after="60" w:before="0"/>
        <w:contextualSpacing w:val="false"/>
        <w:jc w:val="both"/>
      </w:pPr>
      <w:r>
        <w:rPr/>
        <w:t>4.3.2. Prise en compte des éléments personnels nécessaires à l’élaboration des bulletins de paie</w:t>
      </w:r>
    </w:p>
    <w:p>
      <w:pPr>
        <w:pStyle w:val="style0"/>
        <w:numPr>
          <w:ilvl w:val="0"/>
          <w:numId w:val="6"/>
        </w:numPr>
        <w:spacing w:after="60" w:before="0"/>
        <w:contextualSpacing w:val="false"/>
        <w:jc w:val="both"/>
      </w:pPr>
      <w:r>
        <w:rPr/>
        <w:t>5.5.2. Présentation des tableaux de bord</w:t>
      </w:r>
    </w:p>
    <w:p>
      <w:pPr>
        <w:pStyle w:val="style0"/>
        <w:jc w:val="both"/>
      </w:pPr>
      <w:r>
        <w:rPr/>
      </w:r>
    </w:p>
    <w:p>
      <w:pPr>
        <w:pStyle w:val="style1"/>
        <w:numPr>
          <w:ilvl w:val="0"/>
          <w:numId w:val="6"/>
        </w:numPr>
        <w:shd w:fill="FFFFFF" w:val="clear"/>
        <w:ind w:hanging="360" w:left="1287" w:right="0"/>
      </w:pPr>
      <w:r>
        <w:rPr>
          <w:u w:val="none"/>
        </w:rPr>
        <w:t>Les composantes associées du P7</w:t>
      </w:r>
    </w:p>
    <w:p>
      <w:pPr>
        <w:pStyle w:val="style0"/>
        <w:numPr>
          <w:ilvl w:val="0"/>
          <w:numId w:val="6"/>
        </w:numPr>
        <w:spacing w:after="60" w:before="0"/>
        <w:contextualSpacing w:val="false"/>
        <w:jc w:val="both"/>
      </w:pPr>
      <w:r>
        <w:rPr/>
        <w:t>7.1.3. Mise en œuvre des méthodes de recherche d’information</w:t>
      </w:r>
    </w:p>
    <w:p>
      <w:pPr>
        <w:pStyle w:val="style0"/>
        <w:numPr>
          <w:ilvl w:val="0"/>
          <w:numId w:val="6"/>
        </w:numPr>
        <w:spacing w:after="60" w:before="0"/>
        <w:contextualSpacing w:val="false"/>
        <w:jc w:val="both"/>
      </w:pPr>
      <w:r>
        <w:rPr>
          <w:b w:val="false"/>
          <w:bCs w:val="false"/>
        </w:rPr>
        <w:t>7.3.2. Participation à l’évolution du système d’information</w:t>
      </w:r>
    </w:p>
    <w:p>
      <w:pPr>
        <w:pStyle w:val="style0"/>
        <w:spacing w:after="60" w:before="0"/>
        <w:contextualSpacing w:val="false"/>
        <w:jc w:val="both"/>
      </w:pPr>
      <w:r>
        <w:rPr/>
      </w:r>
    </w:p>
    <w:p>
      <w:pPr>
        <w:pStyle w:val="style41"/>
        <w:ind w:hanging="360" w:left="0" w:right="0"/>
        <w:jc w:val="left"/>
      </w:pPr>
      <w:r>
        <w:rPr/>
      </w:r>
    </w:p>
    <w:sectPr>
      <w:footerReference r:id="rId2" w:type="default"/>
      <w:type w:val="nextPage"/>
      <w:pgSz w:h="16838" w:w="11906"/>
      <w:pgMar w:bottom="766" w:footer="709" w:gutter="0" w:header="0" w:left="1418" w:right="1418" w:top="567"/>
      <w:pgNumType w:fmt="decimal"/>
      <w:formProt w:val="false"/>
      <w:textDirection w:val="lrTb"/>
      <w:docGrid w:charSpace="12288"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Cambria">
    <w:charset w:val="00"/>
    <w:family w:val="roman"/>
    <w:pitch w:val="variable"/>
  </w:font>
  <w:font w:name="Tahoma">
    <w:charset w:val="00"/>
    <w:family w:val="roman"/>
    <w:pitch w:val="variable"/>
  </w:font>
  <w:font w:name="Arial">
    <w:charset w:val="00"/>
    <w:family w:val="roman"/>
    <w:pitch w:val="variable"/>
  </w:font>
  <w:font w:name="Courier New">
    <w:charset w:val="80"/>
    <w:family w:val="modern"/>
    <w:pitch w:val="fixed"/>
  </w:font>
  <w:font w:name="Wingdings">
    <w:charset w:val="02"/>
    <w:family w:val="auto"/>
    <w:pitch w:val="variable"/>
  </w:font>
  <w:font w:name="Calibri">
    <w:charset w:val="8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ind w:hanging="0" w:left="-555" w:right="-525"/>
    </w:pPr>
    <w:r>
      <w:rPr>
        <w:rFonts w:ascii="Arial" w:cs="Arial" w:hAnsi="Arial"/>
        <w:b/>
        <w:sz w:val="18"/>
        <w:szCs w:val="18"/>
      </w:rPr>
      <w:tab/>
      <w:tab/>
      <w:tab/>
      <w:t xml:space="preserve"> © Réseau CRCF – Ministère de l'Éducation nationale – </w:t>
    </w:r>
    <w:hyperlink r:id="rId1">
      <w:r>
        <w:rPr>
          <w:rStyle w:val="style27"/>
          <w:rStyle w:val="style27"/>
          <w:rFonts w:ascii="Arial" w:cs="Arial" w:hAnsi="Arial"/>
          <w:b/>
          <w:sz w:val="18"/>
          <w:szCs w:val="18"/>
        </w:rPr>
        <w:t>http://crcf.ac-grenoble.fr</w:t>
      </w:r>
    </w:hyperlink>
    <w:r>
      <w:rPr>
        <w:rFonts w:ascii="Arial" w:cs="Arial" w:hAnsi="Arial"/>
        <w:b/>
        <w:sz w:val="18"/>
        <w:szCs w:val="18"/>
      </w:rPr>
      <w:tab/>
      <w:t xml:space="preserve">page </w:t>
    </w:r>
    <w:r>
      <w:rPr>
        <w:rFonts w:ascii="Arial" w:cs="Arial" w:hAnsi="Arial"/>
        <w:b/>
        <w:sz w:val="18"/>
        <w:szCs w:val="18"/>
      </w:rPr>
      <w:fldChar w:fldCharType="begin"/>
    </w:r>
    <w:r>
      <w:instrText> PAGE </w:instrText>
    </w:r>
    <w:r>
      <w:fldChar w:fldCharType="separate"/>
    </w:r>
    <w:r>
      <w:t>3</w:t>
    </w:r>
    <w:r>
      <w:fldChar w:fldCharType="end"/>
    </w:r>
    <w:r>
      <w:rPr>
        <w:rFonts w:ascii="Arial" w:cs="Arial" w:hAnsi="Arial"/>
        <w:b/>
        <w:sz w:val="18"/>
        <w:szCs w:val="18"/>
      </w:rPr>
      <w:t>/</w:t>
    </w:r>
    <w:r>
      <w:rPr>
        <w:rFonts w:ascii="Arial" w:cs="Arial" w:hAnsi="Arial"/>
        <w:b/>
        <w:sz w:val="18"/>
        <w:szCs w:val="18"/>
      </w:rPr>
      <w:fldChar w:fldCharType="begin"/>
    </w:r>
    <w:r>
      <w:instrText> NUMPAGES </w:instrText>
    </w:r>
    <w:r>
      <w:fldChar w:fldCharType="separate"/>
    </w:r>
    <w:r>
      <w:t>3</w:t>
    </w:r>
    <w:r>
      <w:fldChar w:fldCharType="end"/>
    </w:r>
    <w:r>
      <w:rPr>
        <w:rFonts w:ascii="Arial" w:cs="Arial" w:hAnsi="Arial"/>
        <w:b/>
        <w:sz w:val="18"/>
        <w:szCs w:val="18"/>
      </w:rPr>
      <w:t xml:space="preserve"> </w:t>
      <w:drawing>
        <wp:anchor allowOverlap="1" behindDoc="1" distB="0" distL="0" distR="0" distT="0" layoutInCell="1" locked="0" relativeHeight="2" simplePos="0">
          <wp:simplePos x="0" y="0"/>
          <wp:positionH relativeFrom="character">
            <wp:posOffset>-320675</wp:posOffset>
          </wp:positionH>
          <wp:positionV relativeFrom="line">
            <wp:posOffset>-47625</wp:posOffset>
          </wp:positionV>
          <wp:extent cx="1066800" cy="241300"/>
          <wp:effectExtent b="0" l="0" r="0" t="0"/>
          <wp:wrapSquare wrapText="largest"/>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2"/>
                  <a:srcRect/>
                  <a:stretch>
                    <a:fillRect/>
                  </a:stretch>
                </pic:blipFill>
                <pic:spPr bwMode="auto">
                  <a:xfrm>
                    <a:off x="0" y="0"/>
                    <a:ext cx="1066800" cy="241300"/>
                  </a:xfrm>
                  <a:prstGeom prst="rect">
                    <a:avLst/>
                  </a:prstGeom>
                  <a:noFill/>
                  <a:ln w="9525">
                    <a:noFill/>
                    <a:miter lim="800000"/>
                    <a:headEnd/>
                    <a:tailEnd/>
                  </a:ln>
                </pic:spPr>
              </pic:pic>
            </a:graphicData>
          </a:graphic>
        </wp:anchor>
      </w:drawing>
    </w:r>
  </w:p>
</w:ftr>
</file>

<file path=word/numbering.xml><?xml version="1.0" encoding="utf-8"?>
<w:numbering xmlns:w="http://schemas.openxmlformats.org/wordprocessingml/2006/main">
  <w:abstractNum w:abstractNumId="1">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bullet"/>
      <w:lvlText w:val=""/>
      <w:lvlJc w:val="left"/>
      <w:pPr>
        <w:ind w:hanging="360" w:left="1320"/>
      </w:pPr>
      <w:rPr>
        <w:rFonts w:ascii="Symbol" w:cs="Symbol" w:hAnsi="Symbol" w:hint="default"/>
      </w:rPr>
    </w:lvl>
    <w:lvl w:ilvl="1">
      <w:start w:val="1"/>
      <w:numFmt w:val="bullet"/>
      <w:lvlText w:val="o"/>
      <w:lvlJc w:val="left"/>
      <w:pPr>
        <w:ind w:hanging="360" w:left="2040"/>
      </w:pPr>
      <w:rPr>
        <w:rFonts w:ascii="Courier New" w:cs="Courier New" w:hAnsi="Courier New" w:hint="default"/>
      </w:rPr>
    </w:lvl>
    <w:lvl w:ilvl="2">
      <w:start w:val="1"/>
      <w:numFmt w:val="bullet"/>
      <w:lvlText w:val=""/>
      <w:lvlJc w:val="left"/>
      <w:pPr>
        <w:ind w:hanging="360" w:left="2760"/>
      </w:pPr>
      <w:rPr>
        <w:rFonts w:ascii="Wingdings" w:cs="Wingdings" w:hAnsi="Wingdings" w:hint="default"/>
      </w:rPr>
    </w:lvl>
    <w:lvl w:ilvl="3">
      <w:start w:val="1"/>
      <w:numFmt w:val="bullet"/>
      <w:lvlText w:val=""/>
      <w:lvlJc w:val="left"/>
      <w:pPr>
        <w:ind w:hanging="360" w:left="3480"/>
      </w:pPr>
      <w:rPr>
        <w:rFonts w:ascii="Symbol" w:cs="Symbol" w:hAnsi="Symbol" w:hint="default"/>
      </w:rPr>
    </w:lvl>
    <w:lvl w:ilvl="4">
      <w:start w:val="1"/>
      <w:numFmt w:val="bullet"/>
      <w:lvlText w:val="o"/>
      <w:lvlJc w:val="left"/>
      <w:pPr>
        <w:ind w:hanging="360" w:left="4200"/>
      </w:pPr>
      <w:rPr>
        <w:rFonts w:ascii="Courier New" w:cs="Courier New" w:hAnsi="Courier New" w:hint="default"/>
      </w:rPr>
    </w:lvl>
    <w:lvl w:ilvl="5">
      <w:start w:val="1"/>
      <w:numFmt w:val="bullet"/>
      <w:lvlText w:val=""/>
      <w:lvlJc w:val="left"/>
      <w:pPr>
        <w:ind w:hanging="360" w:left="4920"/>
      </w:pPr>
      <w:rPr>
        <w:rFonts w:ascii="Wingdings" w:cs="Wingdings" w:hAnsi="Wingdings" w:hint="default"/>
      </w:rPr>
    </w:lvl>
    <w:lvl w:ilvl="6">
      <w:start w:val="1"/>
      <w:numFmt w:val="bullet"/>
      <w:lvlText w:val=""/>
      <w:lvlJc w:val="left"/>
      <w:pPr>
        <w:ind w:hanging="360" w:left="5640"/>
      </w:pPr>
      <w:rPr>
        <w:rFonts w:ascii="Symbol" w:cs="Symbol" w:hAnsi="Symbol" w:hint="default"/>
      </w:rPr>
    </w:lvl>
    <w:lvl w:ilvl="7">
      <w:start w:val="1"/>
      <w:numFmt w:val="bullet"/>
      <w:lvlText w:val="o"/>
      <w:lvlJc w:val="left"/>
      <w:pPr>
        <w:ind w:hanging="360" w:left="6360"/>
      </w:pPr>
      <w:rPr>
        <w:rFonts w:ascii="Courier New" w:cs="Courier New" w:hAnsi="Courier New" w:hint="default"/>
      </w:rPr>
    </w:lvl>
    <w:lvl w:ilvl="8">
      <w:start w:val="1"/>
      <w:numFmt w:val="bullet"/>
      <w:lvlText w:val=""/>
      <w:lvlJc w:val="left"/>
      <w:pPr>
        <w:ind w:hanging="360" w:left="7080"/>
      </w:pPr>
      <w:rPr>
        <w:rFonts w:ascii="Wingdings" w:cs="Wingdings" w:hAnsi="Wingdings" w:hint="default"/>
      </w:rPr>
    </w:lvl>
  </w:abstractNum>
  <w:abstractNum w:abstractNumId="3">
    <w:lvl w:ilvl="0">
      <w:start w:val="1"/>
      <w:numFmt w:val="bullet"/>
      <w:lvlText w:val=""/>
      <w:lvlJc w:val="left"/>
      <w:pPr>
        <w:ind w:hanging="360" w:left="993"/>
      </w:pPr>
      <w:rPr>
        <w:rFonts w:ascii="Symbol" w:cs="Symbol" w:hAnsi="Symbol" w:hint="default"/>
      </w:rPr>
    </w:lvl>
    <w:lvl w:ilvl="1">
      <w:start w:val="1"/>
      <w:numFmt w:val="bullet"/>
      <w:lvlText w:val="o"/>
      <w:lvlJc w:val="left"/>
      <w:pPr>
        <w:ind w:hanging="360" w:left="1713"/>
      </w:pPr>
      <w:rPr>
        <w:rFonts w:ascii="Courier New" w:cs="Courier New" w:hAnsi="Courier New" w:hint="default"/>
      </w:rPr>
    </w:lvl>
    <w:lvl w:ilvl="2">
      <w:start w:val="1"/>
      <w:numFmt w:val="bullet"/>
      <w:lvlText w:val=""/>
      <w:lvlJc w:val="left"/>
      <w:pPr>
        <w:ind w:hanging="360" w:left="2433"/>
      </w:pPr>
      <w:rPr>
        <w:rFonts w:ascii="Wingdings" w:cs="Wingdings" w:hAnsi="Wingdings" w:hint="default"/>
      </w:rPr>
    </w:lvl>
    <w:lvl w:ilvl="3">
      <w:start w:val="1"/>
      <w:numFmt w:val="bullet"/>
      <w:lvlText w:val=""/>
      <w:lvlJc w:val="left"/>
      <w:pPr>
        <w:ind w:hanging="360" w:left="3153"/>
      </w:pPr>
      <w:rPr>
        <w:rFonts w:ascii="Symbol" w:cs="Symbol" w:hAnsi="Symbol" w:hint="default"/>
      </w:rPr>
    </w:lvl>
    <w:lvl w:ilvl="4">
      <w:start w:val="1"/>
      <w:numFmt w:val="bullet"/>
      <w:lvlText w:val="o"/>
      <w:lvlJc w:val="left"/>
      <w:pPr>
        <w:ind w:hanging="360" w:left="3873"/>
      </w:pPr>
      <w:rPr>
        <w:rFonts w:ascii="Courier New" w:cs="Courier New" w:hAnsi="Courier New" w:hint="default"/>
      </w:rPr>
    </w:lvl>
    <w:lvl w:ilvl="5">
      <w:start w:val="1"/>
      <w:numFmt w:val="bullet"/>
      <w:lvlText w:val=""/>
      <w:lvlJc w:val="left"/>
      <w:pPr>
        <w:ind w:hanging="360" w:left="4593"/>
      </w:pPr>
      <w:rPr>
        <w:rFonts w:ascii="Wingdings" w:cs="Wingdings" w:hAnsi="Wingdings" w:hint="default"/>
      </w:rPr>
    </w:lvl>
    <w:lvl w:ilvl="6">
      <w:start w:val="1"/>
      <w:numFmt w:val="bullet"/>
      <w:lvlText w:val=""/>
      <w:lvlJc w:val="left"/>
      <w:pPr>
        <w:ind w:hanging="360" w:left="5313"/>
      </w:pPr>
      <w:rPr>
        <w:rFonts w:ascii="Symbol" w:cs="Symbol" w:hAnsi="Symbol" w:hint="default"/>
      </w:rPr>
    </w:lvl>
    <w:lvl w:ilvl="7">
      <w:start w:val="1"/>
      <w:numFmt w:val="bullet"/>
      <w:lvlText w:val="o"/>
      <w:lvlJc w:val="left"/>
      <w:pPr>
        <w:ind w:hanging="360" w:left="6033"/>
      </w:pPr>
      <w:rPr>
        <w:rFonts w:ascii="Courier New" w:cs="Courier New" w:hAnsi="Courier New" w:hint="default"/>
      </w:rPr>
    </w:lvl>
    <w:lvl w:ilvl="8">
      <w:start w:val="1"/>
      <w:numFmt w:val="bullet"/>
      <w:lvlText w:val=""/>
      <w:lvlJc w:val="left"/>
      <w:pPr>
        <w:ind w:hanging="360" w:left="6753"/>
      </w:pPr>
      <w:rPr>
        <w:rFonts w:ascii="Wingdings" w:cs="Wingdings" w:hAnsi="Wingdings" w:hint="default"/>
      </w:rPr>
    </w:lvl>
  </w:abstractNum>
  <w:abstractNum w:abstractNumId="4">
    <w:lvl w:ilvl="0">
      <w:start w:val="3"/>
      <w:numFmt w:val="bullet"/>
      <w:lvlText w:val="-"/>
      <w:lvlJc w:val="left"/>
      <w:pPr>
        <w:ind w:hanging="360" w:left="720"/>
      </w:pPr>
      <w:rPr>
        <w:rFonts w:ascii="Calibri" w:cs="Calibri" w:hAnsi="Calibri"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5">
    <w:lvl w:ilvl="0">
      <w:start w:val="1"/>
      <w:numFmt w:val="bullet"/>
      <w:lvlText w:val=""/>
      <w:lvlJc w:val="left"/>
      <w:pPr>
        <w:ind w:hanging="360" w:left="750"/>
      </w:pPr>
      <w:rPr>
        <w:rFonts w:ascii="Symbol" w:cs="Symbol" w:hAnsi="Symbol" w:hint="default"/>
      </w:rPr>
    </w:lvl>
    <w:lvl w:ilvl="1">
      <w:start w:val="1"/>
      <w:numFmt w:val="bullet"/>
      <w:lvlText w:val="o"/>
      <w:lvlJc w:val="left"/>
      <w:pPr>
        <w:ind w:hanging="360" w:left="1470"/>
      </w:pPr>
      <w:rPr>
        <w:rFonts w:ascii="Courier New" w:cs="Courier New" w:hAnsi="Courier New" w:hint="default"/>
      </w:rPr>
    </w:lvl>
    <w:lvl w:ilvl="2">
      <w:start w:val="1"/>
      <w:numFmt w:val="bullet"/>
      <w:lvlText w:val=""/>
      <w:lvlJc w:val="left"/>
      <w:pPr>
        <w:ind w:hanging="360" w:left="2190"/>
      </w:pPr>
      <w:rPr>
        <w:rFonts w:ascii="Wingdings" w:cs="Wingdings" w:hAnsi="Wingdings" w:hint="default"/>
      </w:rPr>
    </w:lvl>
    <w:lvl w:ilvl="3">
      <w:start w:val="1"/>
      <w:numFmt w:val="bullet"/>
      <w:lvlText w:val=""/>
      <w:lvlJc w:val="left"/>
      <w:pPr>
        <w:ind w:hanging="360" w:left="2910"/>
      </w:pPr>
      <w:rPr>
        <w:rFonts w:ascii="Symbol" w:cs="Symbol" w:hAnsi="Symbol" w:hint="default"/>
      </w:rPr>
    </w:lvl>
    <w:lvl w:ilvl="4">
      <w:start w:val="1"/>
      <w:numFmt w:val="bullet"/>
      <w:lvlText w:val="o"/>
      <w:lvlJc w:val="left"/>
      <w:pPr>
        <w:ind w:hanging="360" w:left="3630"/>
      </w:pPr>
      <w:rPr>
        <w:rFonts w:ascii="Courier New" w:cs="Courier New" w:hAnsi="Courier New" w:hint="default"/>
      </w:rPr>
    </w:lvl>
    <w:lvl w:ilvl="5">
      <w:start w:val="1"/>
      <w:numFmt w:val="bullet"/>
      <w:lvlText w:val=""/>
      <w:lvlJc w:val="left"/>
      <w:pPr>
        <w:ind w:hanging="360" w:left="4350"/>
      </w:pPr>
      <w:rPr>
        <w:rFonts w:ascii="Wingdings" w:cs="Wingdings" w:hAnsi="Wingdings" w:hint="default"/>
      </w:rPr>
    </w:lvl>
    <w:lvl w:ilvl="6">
      <w:start w:val="1"/>
      <w:numFmt w:val="bullet"/>
      <w:lvlText w:val=""/>
      <w:lvlJc w:val="left"/>
      <w:pPr>
        <w:ind w:hanging="360" w:left="5070"/>
      </w:pPr>
      <w:rPr>
        <w:rFonts w:ascii="Symbol" w:cs="Symbol" w:hAnsi="Symbol" w:hint="default"/>
      </w:rPr>
    </w:lvl>
    <w:lvl w:ilvl="7">
      <w:start w:val="1"/>
      <w:numFmt w:val="bullet"/>
      <w:lvlText w:val="o"/>
      <w:lvlJc w:val="left"/>
      <w:pPr>
        <w:ind w:hanging="360" w:left="5790"/>
      </w:pPr>
      <w:rPr>
        <w:rFonts w:ascii="Courier New" w:cs="Courier New" w:hAnsi="Courier New" w:hint="default"/>
      </w:rPr>
    </w:lvl>
    <w:lvl w:ilvl="8">
      <w:start w:val="1"/>
      <w:numFmt w:val="bullet"/>
      <w:lvlText w:val=""/>
      <w:lvlJc w:val="left"/>
      <w:pPr>
        <w:ind w:hanging="360" w:left="6510"/>
      </w:pPr>
      <w:rPr>
        <w:rFonts w:ascii="Wingdings" w:cs="Wingdings" w:hAnsi="Wingdings" w:hint="default"/>
      </w:rPr>
    </w:lvl>
  </w:abstractNum>
  <w:abstractNum w:abstractNumId="6">
    <w:lvl w:ilvl="0">
      <w:start w:val="1"/>
      <w:numFmt w:val="bullet"/>
      <w:lvlText w:val=""/>
      <w:lvlJc w:val="left"/>
      <w:pPr>
        <w:ind w:hanging="360" w:left="1287"/>
      </w:pPr>
      <w:rPr>
        <w:rFonts w:ascii="Symbol" w:cs="Symbol" w:hAnsi="Symbol" w:hint="default"/>
      </w:rPr>
    </w:lvl>
    <w:lvl w:ilvl="1">
      <w:start w:val="1"/>
      <w:numFmt w:val="bullet"/>
      <w:lvlText w:val="o"/>
      <w:lvlJc w:val="left"/>
      <w:pPr>
        <w:ind w:hanging="360" w:left="2007"/>
      </w:pPr>
      <w:rPr>
        <w:rFonts w:ascii="Courier New" w:cs="Courier New" w:hAnsi="Courier New" w:hint="default"/>
      </w:rPr>
    </w:lvl>
    <w:lvl w:ilvl="2">
      <w:start w:val="1"/>
      <w:numFmt w:val="bullet"/>
      <w:lvlText w:val=""/>
      <w:lvlJc w:val="left"/>
      <w:pPr>
        <w:ind w:hanging="360" w:left="2727"/>
      </w:pPr>
      <w:rPr>
        <w:rFonts w:ascii="Wingdings" w:cs="Wingdings" w:hAnsi="Wingdings" w:hint="default"/>
      </w:rPr>
    </w:lvl>
    <w:lvl w:ilvl="3">
      <w:start w:val="1"/>
      <w:numFmt w:val="bullet"/>
      <w:lvlText w:val=""/>
      <w:lvlJc w:val="left"/>
      <w:pPr>
        <w:ind w:hanging="360" w:left="3447"/>
      </w:pPr>
      <w:rPr>
        <w:rFonts w:ascii="Symbol" w:cs="Symbol" w:hAnsi="Symbol" w:hint="default"/>
      </w:rPr>
    </w:lvl>
    <w:lvl w:ilvl="4">
      <w:start w:val="1"/>
      <w:numFmt w:val="bullet"/>
      <w:lvlText w:val="o"/>
      <w:lvlJc w:val="left"/>
      <w:pPr>
        <w:ind w:hanging="360" w:left="4167"/>
      </w:pPr>
      <w:rPr>
        <w:rFonts w:ascii="Courier New" w:cs="Courier New" w:hAnsi="Courier New" w:hint="default"/>
      </w:rPr>
    </w:lvl>
    <w:lvl w:ilvl="5">
      <w:start w:val="1"/>
      <w:numFmt w:val="bullet"/>
      <w:lvlText w:val=""/>
      <w:lvlJc w:val="left"/>
      <w:pPr>
        <w:ind w:hanging="360" w:left="4887"/>
      </w:pPr>
      <w:rPr>
        <w:rFonts w:ascii="Wingdings" w:cs="Wingdings" w:hAnsi="Wingdings" w:hint="default"/>
      </w:rPr>
    </w:lvl>
    <w:lvl w:ilvl="6">
      <w:start w:val="1"/>
      <w:numFmt w:val="bullet"/>
      <w:lvlText w:val=""/>
      <w:lvlJc w:val="left"/>
      <w:pPr>
        <w:ind w:hanging="360" w:left="5607"/>
      </w:pPr>
      <w:rPr>
        <w:rFonts w:ascii="Symbol" w:cs="Symbol" w:hAnsi="Symbol" w:hint="default"/>
      </w:rPr>
    </w:lvl>
    <w:lvl w:ilvl="7">
      <w:start w:val="1"/>
      <w:numFmt w:val="bullet"/>
      <w:lvlText w:val="o"/>
      <w:lvlJc w:val="left"/>
      <w:pPr>
        <w:ind w:hanging="360" w:left="6327"/>
      </w:pPr>
      <w:rPr>
        <w:rFonts w:ascii="Courier New" w:cs="Courier New" w:hAnsi="Courier New" w:hint="default"/>
      </w:rPr>
    </w:lvl>
    <w:lvl w:ilvl="8">
      <w:start w:val="1"/>
      <w:numFmt w:val="bullet"/>
      <w:lvlText w:val=""/>
      <w:lvlJc w:val="left"/>
      <w:pPr>
        <w:ind w:hanging="360" w:left="7047"/>
      </w:pPr>
      <w:rPr>
        <w:rFonts w:ascii="Wingdings" w:cs="Wingdings" w:hAnsi="Wingdings" w:hint="default"/>
      </w:rPr>
    </w:lvl>
  </w:abstractNum>
  <w:abstractNum w:abstractNumId="7">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0" w:before="0" w:line="100" w:lineRule="atLeast"/>
      <w:contextualSpacing w:val="false"/>
    </w:pPr>
    <w:rPr>
      <w:rFonts w:ascii="Calibri" w:cs="" w:eastAsia="SimSun" w:hAnsi="Calibri"/>
      <w:color w:val="00000A"/>
      <w:sz w:val="22"/>
      <w:szCs w:val="22"/>
      <w:lang w:bidi="ar-SA" w:eastAsia="fr-FR" w:val="fr-FR"/>
    </w:rPr>
  </w:style>
  <w:style w:styleId="style1" w:type="paragraph">
    <w:name w:val="Titre 1"/>
    <w:basedOn w:val="style0"/>
    <w:next w:val="style1"/>
    <w:pPr>
      <w:keepNext/>
      <w:keepLines/>
      <w:shd w:fill="DBE5F1" w:val="clear"/>
      <w:spacing w:after="120" w:before="120"/>
      <w:contextualSpacing w:val="false"/>
    </w:pPr>
    <w:rPr>
      <w:rFonts w:cs=""/>
      <w:b/>
      <w:bCs/>
      <w:sz w:val="28"/>
      <w:szCs w:val="28"/>
      <w:u w:val="single"/>
    </w:rPr>
  </w:style>
  <w:style w:styleId="style2" w:type="paragraph">
    <w:name w:val="Titre 2"/>
    <w:basedOn w:val="style0"/>
    <w:next w:val="style2"/>
    <w:pPr>
      <w:keepNext/>
      <w:keepLines/>
      <w:spacing w:after="120" w:before="40"/>
      <w:contextualSpacing w:val="false"/>
    </w:pPr>
    <w:rPr>
      <w:rFonts w:ascii="Cambria" w:cs="" w:hAnsi="Cambria"/>
      <w:color w:val="365F91"/>
      <w:sz w:val="26"/>
      <w:szCs w:val="26"/>
    </w:rPr>
  </w:style>
  <w:style w:styleId="style15" w:type="character">
    <w:name w:val="Default Paragraph Font"/>
    <w:next w:val="style15"/>
    <w:rPr/>
  </w:style>
  <w:style w:styleId="style16" w:type="character">
    <w:name w:val="Titre Car"/>
    <w:basedOn w:val="style15"/>
    <w:next w:val="style16"/>
    <w:rPr>
      <w:rFonts w:ascii="Cambria" w:cs="" w:hAnsi="Cambria"/>
      <w:color w:val="17365D"/>
      <w:spacing w:val="5"/>
      <w:sz w:val="52"/>
      <w:szCs w:val="52"/>
    </w:rPr>
  </w:style>
  <w:style w:styleId="style17" w:type="character">
    <w:name w:val="Titre 1 Car"/>
    <w:basedOn w:val="style15"/>
    <w:next w:val="style17"/>
    <w:rPr>
      <w:rFonts w:cs=""/>
      <w:b/>
      <w:bCs/>
      <w:sz w:val="28"/>
      <w:szCs w:val="28"/>
      <w:u w:val="single"/>
      <w:shd w:fill="DBE5F1" w:val="clear"/>
    </w:rPr>
  </w:style>
  <w:style w:styleId="style18" w:type="character">
    <w:name w:val="En-tête Car"/>
    <w:basedOn w:val="style15"/>
    <w:next w:val="style18"/>
    <w:rPr/>
  </w:style>
  <w:style w:styleId="style19" w:type="character">
    <w:name w:val="Pied de page Car"/>
    <w:basedOn w:val="style15"/>
    <w:next w:val="style19"/>
    <w:rPr/>
  </w:style>
  <w:style w:styleId="style20" w:type="character">
    <w:name w:val="Texte de bulles Car"/>
    <w:basedOn w:val="style15"/>
    <w:next w:val="style20"/>
    <w:rPr>
      <w:rFonts w:ascii="Tahoma" w:cs="Tahoma" w:hAnsi="Tahoma"/>
      <w:sz w:val="16"/>
      <w:szCs w:val="16"/>
    </w:rPr>
  </w:style>
  <w:style w:styleId="style21" w:type="character">
    <w:name w:val="annotation reference"/>
    <w:basedOn w:val="style15"/>
    <w:next w:val="style21"/>
    <w:rPr>
      <w:sz w:val="16"/>
      <w:szCs w:val="16"/>
    </w:rPr>
  </w:style>
  <w:style w:styleId="style22" w:type="character">
    <w:name w:val="Commentaire Car"/>
    <w:basedOn w:val="style15"/>
    <w:next w:val="style22"/>
    <w:rPr>
      <w:sz w:val="20"/>
      <w:szCs w:val="20"/>
    </w:rPr>
  </w:style>
  <w:style w:styleId="style23" w:type="character">
    <w:name w:val="Objet du commentaire Car"/>
    <w:basedOn w:val="style22"/>
    <w:next w:val="style23"/>
    <w:rPr>
      <w:b/>
      <w:bCs/>
      <w:sz w:val="20"/>
      <w:szCs w:val="20"/>
    </w:rPr>
  </w:style>
  <w:style w:styleId="style24" w:type="character">
    <w:name w:val="Titre 2 Car"/>
    <w:basedOn w:val="style15"/>
    <w:next w:val="style24"/>
    <w:rPr>
      <w:rFonts w:ascii="Cambria" w:cs="" w:hAnsi="Cambria"/>
      <w:color w:val="365F91"/>
      <w:sz w:val="26"/>
      <w:szCs w:val="26"/>
    </w:rPr>
  </w:style>
  <w:style w:styleId="style25" w:type="character">
    <w:name w:val="ListLabel 1"/>
    <w:next w:val="style25"/>
    <w:rPr>
      <w:rFonts w:cs="Courier New"/>
    </w:rPr>
  </w:style>
  <w:style w:styleId="style26" w:type="character">
    <w:name w:val="ListLabel 2"/>
    <w:next w:val="style26"/>
    <w:rPr>
      <w:rFonts w:cs=""/>
    </w:rPr>
  </w:style>
  <w:style w:styleId="style27" w:type="character">
    <w:name w:val="Lien Internet"/>
    <w:next w:val="style27"/>
    <w:rPr>
      <w:color w:val="000080"/>
      <w:u w:val="single"/>
      <w:lang w:bidi="zxx-" w:eastAsia="zxx-" w:val="zxx-"/>
    </w:rPr>
  </w:style>
  <w:style w:styleId="style28" w:type="character">
    <w:name w:val="ListLabel 3"/>
    <w:next w:val="style28"/>
    <w:rPr>
      <w:rFonts w:cs="Symbol"/>
    </w:rPr>
  </w:style>
  <w:style w:styleId="style29" w:type="character">
    <w:name w:val="ListLabel 4"/>
    <w:next w:val="style29"/>
    <w:rPr>
      <w:rFonts w:cs="Courier New"/>
    </w:rPr>
  </w:style>
  <w:style w:styleId="style30" w:type="character">
    <w:name w:val="ListLabel 5"/>
    <w:next w:val="style30"/>
    <w:rPr>
      <w:rFonts w:cs="Wingdings"/>
    </w:rPr>
  </w:style>
  <w:style w:styleId="style31" w:type="character">
    <w:name w:val="ListLabel 6"/>
    <w:next w:val="style31"/>
    <w:rPr>
      <w:rFonts w:cs="Calibri"/>
    </w:rPr>
  </w:style>
  <w:style w:styleId="style32" w:type="character">
    <w:name w:val="ListLabel 7"/>
    <w:next w:val="style32"/>
    <w:rPr>
      <w:rFonts w:cs="Symbol"/>
    </w:rPr>
  </w:style>
  <w:style w:styleId="style33" w:type="character">
    <w:name w:val="ListLabel 8"/>
    <w:next w:val="style33"/>
    <w:rPr>
      <w:rFonts w:cs="Courier New"/>
    </w:rPr>
  </w:style>
  <w:style w:styleId="style34" w:type="character">
    <w:name w:val="ListLabel 9"/>
    <w:next w:val="style34"/>
    <w:rPr>
      <w:rFonts w:cs="Wingdings"/>
    </w:rPr>
  </w:style>
  <w:style w:styleId="style35" w:type="character">
    <w:name w:val="ListLabel 10"/>
    <w:next w:val="style35"/>
    <w:rPr>
      <w:rFonts w:cs="Calibri"/>
    </w:rPr>
  </w:style>
  <w:style w:styleId="style36" w:type="paragraph">
    <w:name w:val="Titre"/>
    <w:basedOn w:val="style0"/>
    <w:next w:val="style37"/>
    <w:pPr>
      <w:keepNext/>
      <w:spacing w:after="120" w:before="240"/>
      <w:contextualSpacing w:val="false"/>
    </w:pPr>
    <w:rPr>
      <w:rFonts w:ascii="Arial" w:cs="Arial Unicode MS" w:eastAsia="Microsoft YaHei" w:hAnsi="Arial"/>
      <w:sz w:val="28"/>
      <w:szCs w:val="28"/>
    </w:rPr>
  </w:style>
  <w:style w:styleId="style37" w:type="paragraph">
    <w:name w:val="Corps de texte"/>
    <w:basedOn w:val="style0"/>
    <w:next w:val="style37"/>
    <w:pPr>
      <w:spacing w:after="120" w:before="0"/>
      <w:contextualSpacing w:val="false"/>
    </w:pPr>
    <w:rPr/>
  </w:style>
  <w:style w:styleId="style38" w:type="paragraph">
    <w:name w:val="Liste"/>
    <w:basedOn w:val="style37"/>
    <w:next w:val="style38"/>
    <w:pPr/>
    <w:rPr>
      <w:rFonts w:cs="Arial Unicode MS"/>
    </w:rPr>
  </w:style>
  <w:style w:styleId="style39" w:type="paragraph">
    <w:name w:val="Légende"/>
    <w:basedOn w:val="style0"/>
    <w:next w:val="style39"/>
    <w:pPr>
      <w:suppressLineNumbers/>
      <w:spacing w:after="120" w:before="120"/>
      <w:contextualSpacing w:val="false"/>
    </w:pPr>
    <w:rPr>
      <w:rFonts w:cs="Arial Unicode MS"/>
      <w:i/>
      <w:iCs/>
      <w:sz w:val="24"/>
      <w:szCs w:val="24"/>
    </w:rPr>
  </w:style>
  <w:style w:styleId="style40" w:type="paragraph">
    <w:name w:val="Index"/>
    <w:basedOn w:val="style0"/>
    <w:next w:val="style40"/>
    <w:pPr>
      <w:suppressLineNumbers/>
    </w:pPr>
    <w:rPr>
      <w:rFonts w:cs="Arial Unicode MS"/>
    </w:rPr>
  </w:style>
  <w:style w:styleId="style41" w:type="paragraph">
    <w:name w:val="List Paragraph"/>
    <w:basedOn w:val="style0"/>
    <w:next w:val="style41"/>
    <w:pPr>
      <w:spacing w:after="0" w:before="0"/>
      <w:ind w:hanging="0" w:left="720" w:right="0"/>
      <w:contextualSpacing/>
    </w:pPr>
    <w:rPr/>
  </w:style>
  <w:style w:styleId="style42" w:type="paragraph">
    <w:name w:val="Titre principal"/>
    <w:basedOn w:val="style0"/>
    <w:next w:val="style42"/>
    <w:pPr>
      <w:pBdr>
        <w:top w:val="none"/>
        <w:left w:val="none"/>
        <w:bottom w:color="4F81BD" w:space="0" w:sz="8" w:val="single"/>
        <w:insideH w:color="4F81BD" w:space="0" w:sz="8" w:val="single"/>
        <w:right w:val="none"/>
        <w:insideV w:val="none"/>
      </w:pBdr>
      <w:spacing w:after="300" w:before="0"/>
      <w:contextualSpacing/>
    </w:pPr>
    <w:rPr>
      <w:rFonts w:ascii="Cambria" w:cs="" w:hAnsi="Cambria"/>
      <w:color w:val="17365D"/>
      <w:spacing w:val="5"/>
      <w:sz w:val="52"/>
      <w:szCs w:val="52"/>
    </w:rPr>
  </w:style>
  <w:style w:styleId="style43" w:type="paragraph">
    <w:name w:val="En-tête"/>
    <w:basedOn w:val="style0"/>
    <w:next w:val="style43"/>
    <w:pPr>
      <w:tabs>
        <w:tab w:leader="none" w:pos="4536" w:val="center"/>
        <w:tab w:leader="none" w:pos="9072" w:val="right"/>
      </w:tabs>
    </w:pPr>
    <w:rPr/>
  </w:style>
  <w:style w:styleId="style44" w:type="paragraph">
    <w:name w:val="Pied de page"/>
    <w:basedOn w:val="style0"/>
    <w:next w:val="style44"/>
    <w:pPr>
      <w:tabs>
        <w:tab w:leader="none" w:pos="4536" w:val="center"/>
        <w:tab w:leader="none" w:pos="9072" w:val="right"/>
      </w:tabs>
    </w:pPr>
    <w:rPr/>
  </w:style>
  <w:style w:styleId="style45" w:type="paragraph">
    <w:name w:val="Balloon Text"/>
    <w:basedOn w:val="style0"/>
    <w:next w:val="style45"/>
    <w:pPr/>
    <w:rPr>
      <w:rFonts w:ascii="Tahoma" w:cs="Tahoma" w:hAnsi="Tahoma"/>
      <w:sz w:val="16"/>
      <w:szCs w:val="16"/>
    </w:rPr>
  </w:style>
  <w:style w:styleId="style46" w:type="paragraph">
    <w:name w:val="annotation text"/>
    <w:basedOn w:val="style0"/>
    <w:next w:val="style46"/>
    <w:pPr/>
    <w:rPr>
      <w:sz w:val="20"/>
      <w:szCs w:val="20"/>
    </w:rPr>
  </w:style>
  <w:style w:styleId="style47" w:type="paragraph">
    <w:name w:val="annotation subject"/>
    <w:basedOn w:val="style46"/>
    <w:next w:val="style47"/>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hyperlink" Target="http://crtg.ac-grenoble.fr/" TargetMode="External"/><Relationship Id="rId2" Type="http://schemas.openxmlformats.org/officeDocument/2006/relationships/image" Target="media/image2.jpeg"/>
</Relationships>
</file>

<file path=docProps/app.xml><?xml version="1.0" encoding="utf-8"?>
<Properties xmlns="http://schemas.openxmlformats.org/officeDocument/2006/extended-properties" xmlns:vt="http://schemas.openxmlformats.org/officeDocument/2006/docPropsVTypes">
  <Template>Normal.dotm</Template>
  <TotalTime>16</TotalTime>
  <Application>LibreOffice/4.0.5.2$Windows_x86 LibreOffice_project/5464147a081647a250913f19c0715bca595af2f</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2017-02-16T16:27:00.00Z</dcterms:created>
  <dc:creator>P. PARISOT</dc:creator>
  <cp:lastModifiedBy>Pascal Parisot</cp:lastModifiedBy>
  <cp:lastPrinted>2014-11-13T14:43:00.00Z</cp:lastPrinted>
  <dcterms:modified xsi:type="dcterms:W3CDTF">2017-02-21T15:42:00.00Z</dcterms:modified>
  <cp:revision>6</cp:revision>
  <dc:title>Affectation résultat SARL</dc:title>
</cp:coreProperties>
</file>